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C19D" w14:textId="2FAF5CE7" w:rsidR="00C756C3" w:rsidRDefault="00B95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FOI 6464 </w:t>
      </w:r>
    </w:p>
    <w:tbl>
      <w:tblPr>
        <w:tblW w:w="7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81"/>
        <w:gridCol w:w="2086"/>
      </w:tblGrid>
      <w:tr w:rsidR="00B9525B" w14:paraId="257DE59C" w14:textId="77777777" w:rsidTr="00B9525B">
        <w:trPr>
          <w:trHeight w:val="61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4ED5" w14:textId="77777777" w:rsidR="00B9525B" w:rsidRDefault="00B9525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en-GB"/>
              </w:rPr>
              <w:t xml:space="preserve">Treatments 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15E7" w14:textId="77777777" w:rsidR="00B9525B" w:rsidRDefault="00B9525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en-GB"/>
              </w:rPr>
              <w:t xml:space="preserve">Total Gastroenterology Patients 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EE33" w14:textId="77777777" w:rsidR="00B9525B" w:rsidRDefault="00B9525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en-GB"/>
              </w:rPr>
              <w:t>Ulcerative Colitis Patients</w:t>
            </w:r>
          </w:p>
        </w:tc>
      </w:tr>
      <w:tr w:rsidR="00B9525B" w14:paraId="5A74E5BF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E454C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Adalimumab - Humira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55439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CB97E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5FA1ED5E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EBB75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Adalimumab Biosimilar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A66F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E2944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5991668D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C1CEB" w14:textId="77777777" w:rsidR="00B9525B" w:rsidRDefault="00B9525B">
            <w:pPr>
              <w:spacing w:after="0" w:line="240" w:lineRule="auto"/>
            </w:pPr>
            <w:proofErr w:type="spellStart"/>
            <w:r>
              <w:rPr>
                <w:color w:val="000000"/>
                <w:lang w:eastAsia="en-GB"/>
              </w:rPr>
              <w:t>Filgotinib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E412E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76B6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156D8214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81846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Golimumab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8023B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A723E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2622FB1C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3ECAB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Infliximab - Remicade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B26D2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D4A29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012DDE47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83086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Infliximab Biosimilar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45D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73089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02B45391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4F7D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Ozanimod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1B0D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89C63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41991196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68DBB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Tofacitinib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837A5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B9753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0643CF80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47771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Ustekinumab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6FC9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6400B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B9525B" w14:paraId="5EE89A45" w14:textId="77777777" w:rsidTr="00B9525B">
        <w:trPr>
          <w:trHeight w:val="30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0B62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Vedolizumab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D9D0C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EA54F" w14:textId="77777777" w:rsidR="00B9525B" w:rsidRDefault="00B9525B">
            <w:pPr>
              <w:spacing w:after="0" w:line="240" w:lineRule="auto"/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14:paraId="1C73295A" w14:textId="77777777" w:rsidR="00B9525B" w:rsidRDefault="00B9525B" w:rsidP="00B9525B">
      <w:pPr>
        <w:spacing w:after="0"/>
        <w:rPr>
          <w:rFonts w:ascii="Calibri" w:hAnsi="Calibri" w:cs="Calibri"/>
        </w:rPr>
      </w:pPr>
      <w:r>
        <w:rPr>
          <w:color w:val="000000"/>
        </w:rPr>
        <w:t> </w:t>
      </w:r>
    </w:p>
    <w:p w14:paraId="338C6BD7" w14:textId="77777777" w:rsidR="00B9525B" w:rsidRPr="00B9525B" w:rsidRDefault="00B9525B">
      <w:pPr>
        <w:rPr>
          <w:rFonts w:ascii="Arial" w:hAnsi="Arial" w:cs="Arial"/>
        </w:rPr>
      </w:pPr>
    </w:p>
    <w:sectPr w:rsidR="00B9525B" w:rsidRPr="00B9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5B"/>
    <w:rsid w:val="00B9525B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72EA"/>
  <w15:chartTrackingRefBased/>
  <w15:docId w15:val="{E4B05CC6-1832-4DA1-8FFE-575DCE9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Salisbury NHS Foundation Trust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2022-02-08T15:30:00Z</dcterms:created>
  <dcterms:modified xsi:type="dcterms:W3CDTF">2022-02-08T15:31:00Z</dcterms:modified>
</cp:coreProperties>
</file>